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AA" w:rsidRPr="00447B9D" w:rsidRDefault="00301DAA" w:rsidP="00301D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noProof/>
        </w:rPr>
        <w:drawing>
          <wp:inline distT="0" distB="0" distL="0" distR="0" wp14:anchorId="6A4BBD46" wp14:editId="76A91326">
            <wp:extent cx="4457700" cy="2318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662" cy="232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DAA" w:rsidRPr="00447B9D" w:rsidRDefault="00301DAA" w:rsidP="00301D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sz w:val="24"/>
          <w:szCs w:val="24"/>
        </w:rPr>
        <w:t xml:space="preserve">We previously reported phase 1 safety and immunogenicity results from clinical trials of the vaccine candidate BNT162b2, </w:t>
      </w:r>
      <w:r w:rsidRPr="00447B9D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1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447B9D">
        <w:rPr>
          <w:rFonts w:ascii="Times New Roman" w:hAnsi="Times New Roman" w:cs="Times New Roman"/>
          <w:sz w:val="24"/>
          <w:szCs w:val="24"/>
        </w:rPr>
        <w:t xml:space="preserve">a lipid nanoparticle formulated, </w:t>
      </w:r>
      <w:r w:rsidRPr="00447B9D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2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47B9D">
        <w:rPr>
          <w:rFonts w:ascii="Times New Roman" w:hAnsi="Times New Roman" w:cs="Times New Roman"/>
          <w:sz w:val="24"/>
          <w:szCs w:val="24"/>
        </w:rPr>
        <w:t>nucleoside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 xml:space="preserve">modified RNA </w:t>
      </w:r>
      <w:r w:rsidRPr="00447B9D">
        <w:rPr>
          <w:rFonts w:ascii="Times New Roman" w:hAnsi="Times New Roman" w:cs="Angsana New"/>
          <w:sz w:val="24"/>
          <w:szCs w:val="24"/>
          <w:cs/>
        </w:rPr>
        <w:t>(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modRNA</w:t>
      </w:r>
      <w:proofErr w:type="spellEnd"/>
      <w:r w:rsidRPr="00447B9D">
        <w:rPr>
          <w:rFonts w:ascii="Times New Roman" w:hAnsi="Times New Roman" w:cs="Angsana New"/>
          <w:sz w:val="24"/>
          <w:szCs w:val="24"/>
          <w:cs/>
        </w:rPr>
        <w:t>)</w:t>
      </w:r>
      <w:r w:rsidRPr="00447B9D">
        <w:rPr>
          <w:rFonts w:ascii="Times New Roman" w:hAnsi="Times New Roman" w:cs="Angsana New"/>
          <w:color w:val="FF0000"/>
          <w:sz w:val="24"/>
          <w:szCs w:val="24"/>
          <w:highlight w:val="yellow"/>
          <w:vertAlign w:val="superscript"/>
          <w:cs/>
        </w:rPr>
        <w:t xml:space="preserve"> </w:t>
      </w:r>
      <w:r w:rsidRPr="00447B9D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3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47B9D">
        <w:rPr>
          <w:rFonts w:ascii="Times New Roman" w:hAnsi="Times New Roman" w:cs="Times New Roman"/>
          <w:sz w:val="24"/>
          <w:szCs w:val="24"/>
        </w:rPr>
        <w:t>encoding the SARS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>2 full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 xml:space="preserve">length spike, modified by two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proline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mutations to lock it in the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prefusion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conformation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7B9D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4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47B9D">
        <w:rPr>
          <w:rFonts w:ascii="Times New Roman" w:hAnsi="Times New Roman" w:cs="Times New Roman"/>
          <w:sz w:val="24"/>
          <w:szCs w:val="24"/>
        </w:rPr>
        <w:t>Findings from studies conducted in the United States and Germany among healthy men and women showed that two 30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doses of BNT162b2 elicited high SARS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>2 neutralizing antibody titers and robust antigen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>specific CD8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+ </w:t>
      </w:r>
      <w:r w:rsidRPr="00447B9D">
        <w:rPr>
          <w:rFonts w:ascii="Times New Roman" w:hAnsi="Times New Roman" w:cs="Times New Roman"/>
          <w:sz w:val="24"/>
          <w:szCs w:val="24"/>
        </w:rPr>
        <w:t>and Th1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>type CD4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+ </w:t>
      </w:r>
      <w:r w:rsidRPr="00447B9D">
        <w:rPr>
          <w:rFonts w:ascii="Times New Roman" w:hAnsi="Times New Roman" w:cs="Times New Roman"/>
          <w:sz w:val="24"/>
          <w:szCs w:val="24"/>
        </w:rPr>
        <w:t>T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>cell responses</w:t>
      </w:r>
      <w:r w:rsidRPr="00447B9D">
        <w:rPr>
          <w:rFonts w:ascii="Times New Roman" w:hAnsi="Times New Roman" w:cs="Angsana New"/>
          <w:sz w:val="24"/>
          <w:szCs w:val="24"/>
          <w:cs/>
        </w:rPr>
        <w:t>.</w:t>
      </w:r>
      <w:r w:rsidRPr="00447B9D">
        <w:rPr>
          <w:rFonts w:ascii="Times New Roman" w:hAnsi="Times New Roman" w:cs="Angsana New"/>
          <w:color w:val="FF0000"/>
          <w:sz w:val="24"/>
          <w:szCs w:val="24"/>
          <w:highlight w:val="yellow"/>
          <w:vertAlign w:val="superscript"/>
          <w:cs/>
        </w:rPr>
        <w:t xml:space="preserve"> </w:t>
      </w:r>
      <w:r w:rsidRPr="00447B9D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5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47B9D">
        <w:rPr>
          <w:rFonts w:ascii="Times New Roman" w:hAnsi="Times New Roman" w:cs="Times New Roman"/>
          <w:sz w:val="24"/>
          <w:szCs w:val="24"/>
        </w:rPr>
        <w:t>The 50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Pr="00447B9D">
        <w:rPr>
          <w:rFonts w:ascii="Times New Roman" w:hAnsi="Times New Roman" w:cs="Times New Roman"/>
          <w:sz w:val="24"/>
          <w:szCs w:val="24"/>
        </w:rPr>
        <w:t xml:space="preserve">neutralizing geometric mean titers elicited by 30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of BNT162b2 in older and younger adults exceeded the geometric mean titer measured in a human convalescent serum panel, despite a lower neutralizing response in older adults than in younger adults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7B9D">
        <w:rPr>
          <w:rFonts w:ascii="Times New Roman" w:hAnsi="Times New Roman" w:cs="Times New Roman"/>
          <w:sz w:val="24"/>
          <w:szCs w:val="24"/>
        </w:rPr>
        <w:t xml:space="preserve">In addition, the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reactogenicity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profile of BNT162b2 represented mainly short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 xml:space="preserve">term local </w:t>
      </w:r>
      <w:r w:rsidRPr="00447B9D">
        <w:rPr>
          <w:rFonts w:ascii="Times New Roman" w:hAnsi="Times New Roman" w:cs="Angsana New"/>
          <w:sz w:val="24"/>
          <w:szCs w:val="24"/>
          <w:cs/>
        </w:rPr>
        <w:t>(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7B9D">
        <w:rPr>
          <w:rFonts w:ascii="Times New Roman" w:hAnsi="Times New Roman" w:cs="Angsana New"/>
          <w:sz w:val="24"/>
          <w:szCs w:val="24"/>
          <w:cs/>
        </w:rPr>
        <w:t>.</w:t>
      </w:r>
      <w:r w:rsidRPr="00447B9D">
        <w:rPr>
          <w:rFonts w:ascii="Times New Roman" w:hAnsi="Times New Roman" w:cs="Times New Roman"/>
          <w:sz w:val="24"/>
          <w:szCs w:val="24"/>
        </w:rPr>
        <w:t>e</w:t>
      </w:r>
      <w:r w:rsidRPr="00447B9D">
        <w:rPr>
          <w:rFonts w:ascii="Times New Roman" w:hAnsi="Times New Roman" w:cs="Angsana New"/>
          <w:sz w:val="24"/>
          <w:szCs w:val="24"/>
          <w:cs/>
        </w:rPr>
        <w:t>.</w:t>
      </w:r>
      <w:r w:rsidRPr="00447B9D">
        <w:rPr>
          <w:rFonts w:ascii="Times New Roman" w:hAnsi="Times New Roman" w:cs="Times New Roman"/>
          <w:sz w:val="24"/>
          <w:szCs w:val="24"/>
        </w:rPr>
        <w:t>, injection site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447B9D">
        <w:rPr>
          <w:rFonts w:ascii="Times New Roman" w:hAnsi="Times New Roman" w:cs="Times New Roman"/>
          <w:sz w:val="24"/>
          <w:szCs w:val="24"/>
        </w:rPr>
        <w:t>and systemic responses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7B9D">
        <w:rPr>
          <w:rFonts w:ascii="Times New Roman" w:hAnsi="Times New Roman" w:cs="Times New Roman"/>
          <w:sz w:val="24"/>
          <w:szCs w:val="24"/>
        </w:rPr>
        <w:t>These findings supported progression of the BNT162b2 vaccine candidate into phase 3</w:t>
      </w:r>
      <w:r w:rsidRPr="00447B9D">
        <w:rPr>
          <w:rFonts w:ascii="Times New Roman" w:hAnsi="Times New Roman" w:cs="Angsana New"/>
          <w:sz w:val="24"/>
          <w:szCs w:val="24"/>
          <w:cs/>
        </w:rPr>
        <w:t>.</w:t>
      </w:r>
    </w:p>
    <w:p w:rsidR="00301DAA" w:rsidRPr="00447B9D" w:rsidRDefault="00301DAA" w:rsidP="00301D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1DAA" w:rsidRPr="00447B9D" w:rsidRDefault="00301DAA" w:rsidP="00301D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1DAA" w:rsidRPr="00447B9D" w:rsidRDefault="00301DAA" w:rsidP="00301D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1DAA" w:rsidRPr="00447B9D" w:rsidRDefault="00301DAA" w:rsidP="00301D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1DAA" w:rsidRPr="00447B9D" w:rsidRDefault="00301DAA" w:rsidP="00301D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1DAA" w:rsidRDefault="00301DAA" w:rsidP="00301D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1DAA" w:rsidRPr="00447B9D" w:rsidRDefault="00301DAA" w:rsidP="00301D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301DAA" w:rsidRPr="00447B9D" w:rsidRDefault="00301DAA" w:rsidP="00301DAA">
      <w:pPr>
        <w:spacing w:after="0" w:line="360" w:lineRule="auto"/>
        <w:ind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7B9D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Safety and immunogenicity of two RNA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 xml:space="preserve">based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>19 vaccine candidates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Walsh EE,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Frenck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RW Jr,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Falsey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AR, et al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Journal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J Med 2020</w:t>
      </w:r>
    </w:p>
    <w:p w:rsidR="00301DAA" w:rsidRPr="00447B9D" w:rsidRDefault="00301DAA" w:rsidP="00301DAA">
      <w:pPr>
        <w:spacing w:after="0" w:line="360" w:lineRule="auto"/>
        <w:ind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sz w:val="24"/>
          <w:szCs w:val="24"/>
        </w:rPr>
        <w:t>2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7B9D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47B9D">
        <w:rPr>
          <w:rFonts w:ascii="Times New Roman" w:hAnsi="Times New Roman" w:cs="Times New Roman"/>
          <w:sz w:val="24"/>
          <w:szCs w:val="24"/>
        </w:rPr>
        <w:t>Expression kinetics of nucleoside modified mRNA delivered in lipid nanoparticles to mice by various routes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Pardi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Tuyishime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Muramatsu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H, et al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Journal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J Control Release 2015</w:t>
      </w:r>
    </w:p>
    <w:p w:rsidR="00301DAA" w:rsidRPr="00447B9D" w:rsidRDefault="00301DAA" w:rsidP="00301DAA">
      <w:pPr>
        <w:spacing w:after="0" w:line="360" w:lineRule="auto"/>
        <w:ind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sz w:val="24"/>
          <w:szCs w:val="24"/>
        </w:rPr>
        <w:t>3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7B9D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47B9D">
        <w:rPr>
          <w:rFonts w:ascii="Times New Roman" w:hAnsi="Times New Roman" w:cs="Times New Roman"/>
          <w:sz w:val="24"/>
          <w:szCs w:val="24"/>
        </w:rPr>
        <w:t xml:space="preserve">Incorporation of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pseudouridine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into mRNA yields superior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nonimmunogenic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vector with increased translational capacity and biological stability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Karikó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Muramatsu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H, Welsh FA, et al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Journal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301DAA" w:rsidRPr="00447B9D" w:rsidRDefault="00301DAA" w:rsidP="00301DAA">
      <w:pPr>
        <w:spacing w:after="0" w:line="360" w:lineRule="auto"/>
        <w:ind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sz w:val="24"/>
          <w:szCs w:val="24"/>
        </w:rPr>
        <w:t>4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7B9D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Cryo</w:t>
      </w:r>
      <w:proofErr w:type="spellEnd"/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>EM structure of the 2019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spike in the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prefusion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conformation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Wrapp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D, Wang N, Corbett KS, et al</w:t>
      </w:r>
      <w:r w:rsidRPr="00447B9D">
        <w:rPr>
          <w:rFonts w:ascii="Times New Roman" w:hAnsi="Times New Roman" w:cs="Angsana New"/>
          <w:sz w:val="24"/>
          <w:szCs w:val="24"/>
          <w:cs/>
        </w:rPr>
        <w:t>.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Journal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Science 2020</w:t>
      </w:r>
    </w:p>
    <w:p w:rsidR="00301DAA" w:rsidRPr="00447B9D" w:rsidRDefault="00301DAA" w:rsidP="00301DAA">
      <w:pPr>
        <w:spacing w:after="0" w:line="360" w:lineRule="auto"/>
        <w:ind w:hanging="284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sz w:val="24"/>
          <w:szCs w:val="24"/>
        </w:rPr>
        <w:t>5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7B9D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47B9D">
        <w:rPr>
          <w:rFonts w:ascii="Times New Roman" w:hAnsi="Times New Roman" w:cs="Times New Roman"/>
          <w:sz w:val="24"/>
          <w:szCs w:val="24"/>
        </w:rPr>
        <w:t>BNT162b2 induces SARS</w:t>
      </w:r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447B9D">
        <w:rPr>
          <w:rFonts w:ascii="Times New Roman" w:hAnsi="Times New Roman" w:cs="Angsana New"/>
          <w:sz w:val="24"/>
          <w:szCs w:val="24"/>
          <w:cs/>
        </w:rPr>
        <w:t>-</w:t>
      </w:r>
      <w:r w:rsidRPr="00447B9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neutralising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antibodies and T cells in humans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Sahin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U,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Muik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447B9D">
        <w:rPr>
          <w:rFonts w:ascii="Times New Roman" w:hAnsi="Times New Roman" w:cs="Times New Roman"/>
          <w:sz w:val="24"/>
          <w:szCs w:val="24"/>
        </w:rPr>
        <w:t>Vogler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 I, et al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301DAA" w:rsidRPr="00447B9D" w:rsidRDefault="00301DAA" w:rsidP="00301DA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b/>
          <w:bCs/>
          <w:sz w:val="24"/>
          <w:szCs w:val="24"/>
        </w:rPr>
        <w:t>Journal</w:t>
      </w:r>
      <w:r w:rsidRPr="00447B9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447B9D">
        <w:rPr>
          <w:rFonts w:ascii="Times New Roman" w:hAnsi="Times New Roman" w:cs="Angsana New"/>
          <w:sz w:val="24"/>
          <w:szCs w:val="24"/>
          <w:cs/>
        </w:rPr>
        <w:t xml:space="preserve"> </w:t>
      </w:r>
      <w:proofErr w:type="spellStart"/>
      <w:r w:rsidRPr="006F3FEF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r w:rsidRPr="00447B9D">
        <w:rPr>
          <w:rFonts w:ascii="Times New Roman" w:hAnsi="Times New Roman" w:cs="Times New Roman"/>
          <w:sz w:val="24"/>
          <w:szCs w:val="24"/>
        </w:rPr>
        <w:t xml:space="preserve">, 2020 </w:t>
      </w:r>
    </w:p>
    <w:p w:rsidR="00301DAA" w:rsidRPr="00447B9D" w:rsidRDefault="00301DAA" w:rsidP="00301DAA">
      <w:pPr>
        <w:rPr>
          <w:rFonts w:ascii="Times New Roman" w:hAnsi="Times New Roman" w:cs="Times New Roman"/>
          <w:sz w:val="24"/>
          <w:szCs w:val="24"/>
        </w:rPr>
      </w:pPr>
      <w:r w:rsidRPr="00447B9D">
        <w:rPr>
          <w:rFonts w:ascii="Times New Roman" w:hAnsi="Times New Roman" w:cs="Times New Roman"/>
          <w:sz w:val="24"/>
          <w:szCs w:val="24"/>
        </w:rPr>
        <w:fldChar w:fldCharType="begin"/>
      </w:r>
      <w:r w:rsidRPr="00447B9D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Pr="00447B9D">
        <w:rPr>
          <w:rFonts w:ascii="Times New Roman" w:hAnsi="Times New Roman" w:cs="Angsana New"/>
          <w:sz w:val="24"/>
          <w:szCs w:val="24"/>
          <w:cs/>
        </w:rPr>
        <w:instrText>.</w:instrText>
      </w:r>
      <w:r w:rsidRPr="00447B9D">
        <w:rPr>
          <w:rFonts w:ascii="Times New Roman" w:hAnsi="Times New Roman" w:cs="Times New Roman"/>
          <w:sz w:val="24"/>
          <w:szCs w:val="24"/>
        </w:rPr>
        <w:instrText xml:space="preserve">REFLIST </w:instrText>
      </w:r>
      <w:r w:rsidRPr="00447B9D">
        <w:rPr>
          <w:rFonts w:ascii="Times New Roman" w:hAnsi="Times New Roman" w:cs="Times New Roman"/>
          <w:sz w:val="24"/>
          <w:szCs w:val="24"/>
        </w:rPr>
        <w:fldChar w:fldCharType="end"/>
      </w:r>
    </w:p>
    <w:p w:rsidR="00E16E1E" w:rsidRDefault="00E16E1E"/>
    <w:sectPr w:rsidR="00E16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AA"/>
    <w:rsid w:val="00301DAA"/>
    <w:rsid w:val="00E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8826"/>
  <w15:chartTrackingRefBased/>
  <w15:docId w15:val="{BF3A2C5C-B82D-41B1-96EA-618BBFE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2021-10-24T16:06:00Z</dcterms:created>
  <dcterms:modified xsi:type="dcterms:W3CDTF">2021-10-24T16:07:00Z</dcterms:modified>
</cp:coreProperties>
</file>